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5E70" w:rsidRDefault="003E25E3" w:rsidP="003E25E3">
      <w:r>
        <w:t>Il corso di Laurea triennale in Lettere, come si ricordava nel precedente Rapporto di Riesame Ciclico, è tradizionalmente, nel nostro sistema universitario, il primo livello di una formazione umanistica variegata e «plurale» che mira a esiti lavorativi molto diversi fra loro, nei settori (per ricordare solo i più comuni): - delle fondazioni e istituzioni culturali, private e pubbliche; - delle biblioteche e degli archivi; - delle istituzioni museali; - delle soprintendenze ai beni archeologici, artistici, archivistico-librari; - dell'editoria; - del giornalismo; - e, non certo ultimo, dell'insegnamento (dopo una laurea magistrale) nelle varie classi di concorso («Lettere classiche e/o moderne» nei licei e nelle scuole medie; «Storia dell'Arte»; «Storia e filosofia»). Per gli studenti che, dopo la laurea di primo livello in Lettere, intendono entrare subito nel mondo del lavoro, è fondamentale poter disporre già in tale percorso triennale di una prima differenziazione del percorso formativo, che li metta in grado di padroneggiare conoscenze di base ritenute essenziali, dai datori di lavoro stessi, per l'accesso a un determinato settore di impiego: questo è il motivo principale alla base dell'esigenza di una tale diversificazione precoce dei percorsi curricolari, e delle richieste degli studenti in tal senso. Inoltre, poiché la quasi totalità degli studenti laureati in Lettere continua poi il suo percorso in una laurea magistrale. Allo scopo è stata proposta da un’apposita commissione varata dal CdS una più evidente corrispondenza e anzi una piena specularità fra i curricula della laurea triennale in Lettere e le cinque corrispondenti lauree magistrali che ne costituiscono la più naturale e ovvia continuazione (LM-2: «Archeologia»; LM-14: «Filologia moderna»; LM-15: «Filologia, letterature e storia dell'antichità»; LM-84: «Scienze storiche»; LM-89: «Storia dell'Arte»), tutte presenti nel nos</w:t>
      </w:r>
      <w:r w:rsidR="000F1B9D">
        <w:t>tro Ateneo.  L’</w:t>
      </w:r>
      <w:bookmarkStart w:id="0" w:name="_GoBack"/>
      <w:bookmarkEnd w:id="0"/>
      <w:r w:rsidR="000F1B9D">
        <w:t>anno accademico ha consentito di verificare la bontà delle scelta</w:t>
      </w:r>
    </w:p>
    <w:p w:rsidR="000F1B9D" w:rsidRDefault="000F1B9D" w:rsidP="000F1B9D">
      <w:pPr>
        <w:jc w:val="center"/>
      </w:pPr>
      <w:r w:rsidRPr="007F62B2">
        <w:t>Scheda monitoraggio annuale- settembre 2019</w:t>
      </w:r>
    </w:p>
    <w:p w:rsidR="000F1B9D" w:rsidRDefault="000F1B9D" w:rsidP="000F1B9D">
      <w:pPr>
        <w:jc w:val="center"/>
      </w:pPr>
    </w:p>
    <w:p w:rsidR="000F1B9D" w:rsidRDefault="000F1B9D" w:rsidP="000F1B9D">
      <w:pPr>
        <w:jc w:val="both"/>
      </w:pPr>
      <w:r>
        <w:t>L’analisi  dei valori  e l’andamento degli indicatori permette di verificare l’efficacia delle azioni previste nel rapporto di Riesame ciclico e nella precedente scheda di Monitoraggio.</w:t>
      </w:r>
    </w:p>
    <w:p w:rsidR="000F1B9D" w:rsidRDefault="000F1B9D" w:rsidP="000F1B9D">
      <w:pPr>
        <w:jc w:val="both"/>
      </w:pPr>
      <w:r>
        <w:t>Gli indicatori evidenziano un miglioramento della situazione del Corso di laurea, in particolare relativamente a quelle aree per le quali erano state previste azione di possibile miglioramento</w:t>
      </w:r>
    </w:p>
    <w:p w:rsidR="000F1B9D" w:rsidRDefault="000F1B9D" w:rsidP="000F1B9D">
      <w:pPr>
        <w:jc w:val="both"/>
      </w:pPr>
      <w:r>
        <w:t>In primo luogo va rilevato l’aumento, rispetto all’anno precedente,  del numero degli avvii di carriera(iC00a: 143), degli immatricolati puri(iC00b: 119) e della percentuale di iscritti regolari(iC00e: 293).</w:t>
      </w:r>
    </w:p>
    <w:p w:rsidR="000F1B9D" w:rsidRDefault="000F1B9D" w:rsidP="000F1B9D">
      <w:pPr>
        <w:jc w:val="both"/>
      </w:pPr>
      <w:r>
        <w:t>Per quanto riguarda la durata del percorso di studio aumenta la percentuale  degli studenti che hanno conseguito 40 Cfu durante il primo anno di corso(iC01: 34,4%) e la percentuale di laureati entro la durata normale del corso(iC02: 33,8%).</w:t>
      </w:r>
    </w:p>
    <w:p w:rsidR="000F1B9D" w:rsidRDefault="000F1B9D" w:rsidP="000F1B9D">
      <w:pPr>
        <w:jc w:val="both"/>
      </w:pPr>
      <w:r>
        <w:t>Aumenta significativamente anche l’indicatore relativo ai CFU conseguiti all’estero(Ic10: 2,4%) e quello relativo alla percentuale di laureati che entro la durata normale del corso hanno acquisito almeno 12 CFU all’estero(iC11: 45,5%).</w:t>
      </w:r>
    </w:p>
    <w:p w:rsidR="000F1B9D" w:rsidRDefault="000F1B9D" w:rsidP="000F1B9D">
      <w:pPr>
        <w:jc w:val="both"/>
      </w:pPr>
      <w:r>
        <w:t>Come aumenta  l’indicatore relativo alla percentuale di immatricolati che si laureano entro un anno oltre la durata del corso(iC17: 32,0%) e la percentuale di laureati che si iscriverebbero di nuovo allo stesso corso di studio(1C18: 66,1%).</w:t>
      </w:r>
    </w:p>
    <w:p w:rsidR="000F1B9D" w:rsidRDefault="000F1B9D" w:rsidP="000F1B9D">
      <w:pPr>
        <w:jc w:val="both"/>
      </w:pPr>
      <w:r>
        <w:lastRenderedPageBreak/>
        <w:t>Un dato di rilievo è  inoltre una notevole riduzione del numero degli abbandoni(iC24: 46,1%).</w:t>
      </w:r>
    </w:p>
    <w:p w:rsidR="000F1B9D" w:rsidRDefault="000F1B9D" w:rsidP="000F1B9D">
      <w:pPr>
        <w:jc w:val="both"/>
      </w:pPr>
      <w:r>
        <w:t>La scelta del Corso di laurea di  proporre un unico curriculum con esami comuni obbligatori(96 CFU) e dei percorsi di approfondimento tematico(42 CFU) ha avuto l’effetto di semplificare il percorso didattico, mantenendo la possibilità di perseguire i propri interessi; ha favorito una più equilibrata distribuzione degli studenti tra le diverse discipline, favorendo il rapporto degli studenti con i docenti.</w:t>
      </w:r>
    </w:p>
    <w:p w:rsidR="000F1B9D" w:rsidRDefault="000F1B9D" w:rsidP="000F1B9D">
      <w:pPr>
        <w:jc w:val="both"/>
      </w:pPr>
      <w:r>
        <w:t>Sia per quanto riguarda la riduzione della durata del percorso di studi e la riduzione degli abbandoni, sia per quanto riguarda l’internazionalizzazione,  il Corso di laurea intende proseguire i propri interventi, così da ottenere ulteriori miglioramenti.</w:t>
      </w:r>
    </w:p>
    <w:p w:rsidR="000F1B9D" w:rsidRDefault="000F1B9D" w:rsidP="000F1B9D">
      <w:pPr>
        <w:jc w:val="both"/>
      </w:pPr>
      <w:r>
        <w:t>Per quanto riguarda la riduzione della  durata degli studi si intende valorizzare il ricevimento studenti e il tutorato come ulteriori ambiti di comunicazione tra docenti e studenti , oltre a quello, che pure ha un valore del tutto positivo, della lezione frontale.</w:t>
      </w:r>
    </w:p>
    <w:p w:rsidR="000F1B9D" w:rsidRDefault="000F1B9D" w:rsidP="000F1B9D">
      <w:pPr>
        <w:jc w:val="both"/>
      </w:pPr>
      <w:r>
        <w:t>La Macroarea di Lettere ha inoltre avviato dei corsi zero per italiano, storia contemporanea e geografia: gli studenti che nei test di ammissione abbiano riportato punteggi insufficienti saranno tenuti a frequentare tali corsi..</w:t>
      </w:r>
    </w:p>
    <w:p w:rsidR="000F1B9D" w:rsidRDefault="000F1B9D" w:rsidP="000F1B9D">
      <w:pPr>
        <w:jc w:val="both"/>
      </w:pPr>
      <w:r>
        <w:t xml:space="preserve">A tal fine, attraverso una migliore utilizzazione del  sito del corso di laurea  e il lavoro della commissione che se ne occupa, verranno evidenziati gli  orari di ricevimento di ogni docente e si inviteranno gli studenti che per diverse ragioni non possono frequentare a utilizzare gli orari di ricevimento dei docenti. Nell’incontro  con le matricole di inizio anno(15 ottobre 2019) ogni docente del corso di laurea sarà invitato a presentarsi e a precisare giorni e orari di ricevimento. </w:t>
      </w:r>
    </w:p>
    <w:p w:rsidR="000F1B9D" w:rsidRDefault="000F1B9D" w:rsidP="000F1B9D">
      <w:pPr>
        <w:jc w:val="both"/>
      </w:pPr>
      <w:r w:rsidRPr="00B901B1">
        <w:t>La Macroarea di Lettere ha inoltre avviato dei corsi zero per italiano, storia contemporanea e geografia: gli studenti che nei test di ammissione abbiano riportato punteggi insufficienti saranno tenuti a frequentare tali corsi.</w:t>
      </w:r>
    </w:p>
    <w:p w:rsidR="000F1B9D" w:rsidRDefault="000F1B9D" w:rsidP="000F1B9D">
      <w:pPr>
        <w:jc w:val="both"/>
      </w:pPr>
      <w:r>
        <w:t xml:space="preserve">Il corso di studio ha stabilito che ogni docente, nell’ultima lezione del corso, si rivolgerà in modo particolare agli studenti che non abbiano frequentato regolarmente, illustrando i criteri interpretativi e le metodologie seguite. </w:t>
      </w:r>
    </w:p>
    <w:p w:rsidR="000F1B9D" w:rsidRDefault="000F1B9D" w:rsidP="000F1B9D">
      <w:pPr>
        <w:jc w:val="both"/>
      </w:pPr>
      <w:r>
        <w:t>Di tale opportunità verrà data notizia sul sito del corso di laurea.</w:t>
      </w:r>
    </w:p>
    <w:p w:rsidR="000F1B9D" w:rsidRDefault="000F1B9D" w:rsidP="000F1B9D">
      <w:pPr>
        <w:jc w:val="both"/>
      </w:pPr>
      <w:r>
        <w:t>Per quanto riguarda la  internazionalizzazione la Commissione Erasmus del Corso di laurea proporrà un incontro a tutti gli studenti del Corso, al quale parteciperanno tutti i docenti, per comunicare l’importanza di periodi di studio all’estero per la propria formazione e per illustrare le opportunità.</w:t>
      </w:r>
    </w:p>
    <w:p w:rsidR="000F1B9D" w:rsidRDefault="000F1B9D" w:rsidP="000F1B9D">
      <w:pPr>
        <w:jc w:val="both"/>
      </w:pPr>
      <w:r>
        <w:t xml:space="preserve">Ogni docente del Corso di laurea sarà invitato a verificare la possibilità di convenzioni con università straniere. </w:t>
      </w:r>
    </w:p>
    <w:p w:rsidR="000F1B9D" w:rsidRPr="007F62B2" w:rsidRDefault="000F1B9D" w:rsidP="000F1B9D">
      <w:pPr>
        <w:jc w:val="both"/>
      </w:pPr>
      <w:r>
        <w:t xml:space="preserve">   </w:t>
      </w:r>
    </w:p>
    <w:p w:rsidR="000F1B9D" w:rsidRDefault="000F1B9D" w:rsidP="003E25E3"/>
    <w:p w:rsidR="000F5E70" w:rsidRDefault="003E25E3" w:rsidP="003E25E3">
      <w:r>
        <w:lastRenderedPageBreak/>
        <w:t xml:space="preserve">Obiettivi di miglioramento previsti nel precedente Rapporto di Riesame Ciclico Obiettivo n. 1: Avviare per l'a.a. 2016/2017 i «percorsi formativi consigliati» varati il 9 giugno 2016. Azioni intraprese: In attesa della riforma dei curricula interni al CdS, la novità transitoria dei nuovi percorsi formativi consigliati ha trovato come pendant un’adeguata assistenza da parte dei tutor docenti, coordinati dal Presidente del CdS, Stato di avanzamento dell’azione correttiva Si è raggiunto l’obiettivo di un maggior coinvolgimento dei docenti e di scelte più consapevoli da parte degli studenti, che hanno portato spesso diverse correzioni di tiro nel loro piano di studi individuale. Il tutto è stato favorito da una paziente opera di revisione formale degli stessi piani di studio. Un momento di confronto decisivo è stata l’assemblea plenaria con i tutor e il coordinatore il 3 marzo 2017. Università degli Studi di Roma “Tor Vergata” </w:t>
      </w:r>
    </w:p>
    <w:p w:rsidR="000F5E70" w:rsidRDefault="003E25E3" w:rsidP="003E25E3">
      <w:r>
        <w:t xml:space="preserve">4 Evidenze a supporto: Il sito web rinnovato, i verbali del CdS e della riunione plenaria con gli studenti, il sito GOMP dedicato all’elaborazione e all’approvazione dei piani di studio. </w:t>
      </w:r>
    </w:p>
    <w:p w:rsidR="000F5E70" w:rsidRDefault="003E25E3" w:rsidP="003E25E3">
      <w:r>
        <w:t>Obiettivo n. 2 Avviare i nuovi curricula (se entrati in vigore nell’anno accademico 2017/18) Azioni intraprese L’approvazione del nuovo RAD posto all’attenzione del CUN ha permesso l’attivazione dei nuovi curricula progettati per l’anno accademico 2017/2018. Le osservazioni del CUN hanno peraltro richiesto una rimodulazione della proposta, portata a compimento dal Coordinatore coadiuvato dall’apposita Commissione nominata nel gennaio 2016 dal CdS. Stato di avanzamento dell’azione correttiva I risultati delle azioni intraprese sono stati presentati nell’incontro con gli immatricolati ed immatricolandi del 26 settembre, riscuotendo notevole interesse e gradimento da parte deg</w:t>
      </w:r>
      <w:r w:rsidR="000F5E70">
        <w:t>li studenti. Si dovrà peraltro</w:t>
      </w:r>
      <w:r>
        <w:t>, come previsto</w:t>
      </w:r>
      <w:r w:rsidR="000F5E70">
        <w:t xml:space="preserve"> nel Riesame ciclico precedente</w:t>
      </w:r>
      <w:r>
        <w:t xml:space="preserve">, attendere una verifica a consuntivo nel gennaio 2019. Come là indicato, gli indicatori non potranno che essere il gradimento degli studenti e il loro buon andamento negli studi, così come un’auspicabile accelerazione nel percorso formativo. Evidenze a supporto: SUA CdS 2017, Verbali delle riunioni, sito web 1-b ANALISI DELLA SITUAZIONE SULLA BASE DEI DATI Si può ribadire quanto già esposto nel precedente Rapporto ciclico ovvero che, anche per i nuovi curricula, le schede descrittive degli insegnamenti risultano chiare ed esaustive. Sono state diffuse agli studenti, sia attraverso l’affissione alle bacheche, sia attraverso la pubblicazione sul sito del Corso di Laurea e nel sistema GOMP. Sono state inviate nei termini prescritti e il Gruppo di Assicurazione della Qualità del CdS, che ne ha potuto valutare la congruità nelle finalità e nella concreta realizzazione. Le modalità di esame sono chiaramente definite e rispondenti alla loro estrinsecazione effettiva: adeguate risultano parimenti le valutazioni dei livelli di apprendimento raggiunti. Lo stesso è risultato alla Commissione paritetica del Dipartimento di riferimento. Non possiamo che ribadire, sulla base degli esiti medi degli esami, che i livelli di apprendimento raggiunti sono in linea con i migliori standard internazionali, come attestano anche le rilevazioni CENSIS. relative alla nostra Macroarea, cui afferiscono tutti gli insegnamenti erogati o mutuati dal CdS. 1-c OBIETTIVI E AZIONI DI MIGLIORAMENTO Obiettivo n. 1: Verificare la validità dei nuovi curricula Azioni da intraprendere: Verificare l’andamento degli studi degli immatricolati 2017/18 Modalità e risorse: Il Gruppo di Assicurazione Qualità, coadiuvato dalla Segreteria didattica della Macroarea della qualità monitorerà i risultati conseguiti dagli studenti nelle sessioni d’esame dell’a.a. 2017/18. Università degli Studi di Roma “Tor Vergata” 5 Non sono necessarie risorse aggiuntive. Scadenze previste e indicatori che misurino lo stato di avanzamento: Aprile 2018. L’indicatore di avanzamento sarà dato dalla numerosità dei CFU e dei voti conseguiti dalla media dei immatricolati rispetto alla media degli iscritti. Responsabilità: Il Gruppo di Assicurazione Qualità. Obiettivo n. 2: Coordinare con i </w:t>
      </w:r>
      <w:r>
        <w:lastRenderedPageBreak/>
        <w:t xml:space="preserve">CdS magistrali la carriera degli studenti Azioni da intraprendere: verificare la congruità dei percorsi Laurea triennale/ laurea magistrale Modalità e risorse: Si proporranno ai CdS Magistrali della Macroarea gruppi di studio coordinati CdS Lettere/singolo CdS Magistrale , con presenza di docenti e studenti Scadenze previste e indicatori che misurino lo stato di avanzamento: L’obiettivo, che comunque non comporta risorse aggiuntive, avrà come prima scadenza giugno 2018. Responsabilità: Il Coordinatore del CdS o 2 – L’ESPERIENZA DELLO STUDENTE 2-a SINTESI DEI PRINCIPALI MUTAMENTI RILEVATI DALL’ULTIMO RIESAME . Il CdS , in perfetta sintonia con i suggerimenti della Commissione paritetica dipartimentale, si è posto il problema della comunicazione rispetto alle innovazioni proposte Obiettivi di miglioramento previsti nel precedente Rapporto di Riesame Ciclico Obiettivo n. 1: Miglioramento della comunicazione relativa all’offerta formativa Azioni intraprese: Si è fornita un’informazione il più possibilmente capillare, attraverso comunicazione telematica rivolta all'esterno, riunioni e colloqui con gli studenti immatricolati , gli studenti e i docenti delle scuole superiori, sia presso le scuole sia in sede, abbinando momenti seminariali di divulgazione della ricerca e dei suoi aspetti didattici all’illustrazione le novità e i miglioramenti dei percorsi formativi per l’a.a. 2016/17 e quelli prospettati dal rinnovo dei curricula progettati per il 2017/18 Stato di avanzamento dell’azione correttiva Si è raggiunto l’obiettivo del coinvolgimento di diverse realtà scolastiche, si sono rinnovati i tutorati, gli incontri personali con i tutor e il coordinatore hanno trovato un momento assembleare in un’assemblea a marzo 2017. Si è programmata un’assemblea con gli immatricolandi per il 26 settembre (realizzata con ampia partecipazione. Quanto alla comunicazione via web, si è proceduto ad un lavoro di rifacimento totale di contenuti e forma del "minisito" del nostro CdS. Si è posta, come previsto, particolare attenzione a Università degli Studi di Roma “Tor Vergata” 6 divulgare in tale sede gli aspetti dell'offerta formativa rinnovata del CdS, Evidenze a supporto: Il sito web rinnovato, i verbali del CdS , della riunione plenaria con gli studenti,,della riunione con gli immatricolandi, le locandine delle iniziative Obiettivo n. 2 Verifica della congruità del riordinamento dei percorsi formativi. Azioni intraprese Si sono avviate le previste riunioni con studenti e docenti (riunioni del CdS, dei gruppi consultazione con gli studenti rappresentati nei diversi organismi, l’ assemblea generale del 3 marzo 2017 e l’incontro con gli immatricolati previsto e realizzato il 26 settembre 2017, le fitte interlocuzioni telematiche e telefoniche con Rappresentanti CUN, l’incontro non rappresentanze delle “parti sociali” nel I Career Day della Macroarea di Lettere e Filosofia (16 maggio 2017) Stato di avanzamento dell’azione correttiva Un traguardo importante è costituito dopo il varo e l’affinamento del progetto nell’interlocuzione col CUN sono stati il CdS del 13/09/2017, chiamato a deliberare, oltre il presente rapporto, la realizzazione del progetto di riordino nei suoi particolari ,e l’incontro con immatricolati ed immatricolandi del 13/09/2017. Verifiche ulteriori dovranno venire da risultati delle immatricolazioni 2017/18, dall’elaborazione dei piani di studio, dalle prossime valutazioni degli studenti. Evidenze a supporto: Verbali delle riunioni, relazioni sul sito, testimonianze fotografiche (e scritte) sui social 2-b ANALISI DELLA SITUAZIONE SULLA BASE DEI DATI I dati Valmon relative alle opinioni degli studenti nel 2016/17 appaiono pressoché sovrapponibili a quelli del 2015/16, registrando valori decisamente elevati di apprezzamento. In particolare vanno ricordati i seguenti dati: chiarezza nell'esposizione delle modalità degli esami 8,73 su 10; rispetto degli orari di lezione 9,00, disponibilità docenti 8,99; presenza dei docenti a lezione 9,12,stimolo dei docenti allo studio della specifica disciplina 8,58, adeguatezza del materiale didattico fornito 8,53, carico didattico adeguato 8,32, utilità della frequenza dei corsi 8,59, interesse per gli argomenti 8,69 .Ancora negative risultano le risposte ai quesiti sulle attivitò integrative, l’utilizzo da parte degli studenti dell’orario di ricevimento dei </w:t>
      </w:r>
      <w:r>
        <w:lastRenderedPageBreak/>
        <w:t>docenti e delle strutture su cui andrà avviato un più stretto e chiarificatore scambio di opinioni sudenti /docenti. 2-c OBIETTIVI E AZIONI DI MIGLIORAMENTO Obiettivo n. 1: Creare adeguati canali di comunicazione docenti/studenti sulle problematiche della didattica Azioni da intraprendere: Università degli Studi di Roma “Tor Vergata” 7 Aprire consultazioni con gli studenti. Modalità e risorse: Consultazioni attraverso i rappresentanti degli studenti e assemblee generali Scadenze previste e indicatori che misurino lo stato di avanzamento: Una prima scadenza sarà un’assemblea all’inizio del secondo semestre 2017/18, l’indicatore saranno le opinioni degli studenti per l’anno acc. 2017/18 Responsabilità: Il Coordinatore coadiuvato dai tutor. 3 - RISORSE DEL CDS 3-a SINTESI DEI PRINCIPALI MUTAMENTI RILEVATI DALL’ULTIMO RIESAME Non vi sono mutamenti di rilievo. Si sottolineavano alcune esigenze tradotte nei sottoelencati obiettivi. Obiettivo n. 1: Nuove modalità di coinvolgimento dei docenti Azioni intraprese: Il problema è oggetto di riunioni di Coordinatore e Gruppo di Assicurazione della Qualità del CdS. E del Consiglio nella sua globalità. Dovranno essere individuate nuove, più diffuse e condivise, modalità di partecipazione dei docenti entro febbraio 2017, demandando eventualmente a sotto-commissioni temporanee costituite ad hoc l'istruzione di specifiche pratiche. Stato di avanzamento dell’azione correttiva: Si sono individuati ambiti di azione da affrontare in modo coordinato, avvalendosi di commissioni ad hoc: la prima (e di maggior rilievo) quella per la revisione dei curricula del CdS. Evidenze a supporto: Verbali del CdS ed elaborati della Commissione specificata. Obiettivo n. 2: Continuare a implementare le afferenze Azioni intraprese: Il coordinatore proseguirà i già avviati contatti e consultazioni con gli altri coordinatori della Macroarea Stato di avanzamento dell’azione correttiva: L’azione ha registrato alcuni significativi “successi”, ma è tuttora in fase d’avviamento (non erano previste scadenze) Evidenze a supporto: Sua CdS, Docenti di riferimento Università degli Studi di Roma “Tor Vergata” 8 3-b ANALISI DELLA SITUAZIONE SULLA BASE DEI DATI Non si può che ribadire la presentazione dei dati dello scorso Rapporto di Riesame Il CdS in Lettere, trattandosi di Cors</w:t>
      </w:r>
      <w:r w:rsidR="000F5E70">
        <w:t xml:space="preserve">o interdipartimentale, possiede un regolare Consiglio, come pure un Coordinatore eletto e ratificato tramite Decreto Rettorale. Al Consiglio partecipano con pieni diritti i docenti con afferenza organica e un certo numero con afferenza didattica (a loro esclusiva scelta). Le esigenze di docenza dei diversi Corsi della Macroarea, nonostante l’implementazione prevista a partire dall’a.a. 2016/17, riduce ancora notevolmente il numero degli afferenti a detto Consiglio, con il rischio reale di limitare seriamente l’efficacia delle decisioni condivise, che dovrebbero riguardare una platea ben più ampia. Le responsabilità dei diversi processi sono ben delineate; particolarmente efficace e creativa è stata la) di rielaborazione dei curricula, ma si sente ancora l’esigenza di un maggiore coinvolgimento dei colleghi del Consiglio, anche in previsione di un certo numero di prossimi pensionamenti. Il CdS si avvale delle risorse materiali (aule, biblioteca, mezzi strumentali) messe a disposizione dalla Macroarea e del Personale tecnico amministrativo di cui è dotato il Dipartimento di riferimento.,e (soprattutto) dell’apporto gratuito del Coordinatore e dei Docenti afferenti allo stesso, nonché quello degli studenti part-time . 3-c INTERVENTI CORRETTIVI Obiettivo n. 1: Rendere più efficiente la gestione funzionale del CdS Azioni da intraprendere: Monitorare le esigenze gestionali del CdS Modalità e risorse: Costituire un gruppo di studio per monitorare le sovracitate esigenze da sottoporre all’attenzione di Macroarea e dipartimento di riferimento Scadenze previste e indicatori che misurino lo stato di avanzamento: Settembre 2018. Lo stato di avanzamento: la redazione del documento. Responsabilità: Il Coordinatore del CdS 4- MONITORAGGIO E REVISIONE DEL CDS 4- a SINTESI DEI PRINCIPALI MUTAMENTI INTERCORSI DALL'ULTIMO RIESAME Nel precedente Rapporto di Riesame Ciclico si sottolineavano le motivazioni della richiesta di </w:t>
      </w:r>
      <w:r w:rsidR="000F5E70">
        <w:lastRenderedPageBreak/>
        <w:t xml:space="preserve">modifica dell'ordinamento didattico, rimarcando come questa non comportasse alcuna accensione di nuove discipline, ma la riformulazione dei curricula, con una nuova disposizione e una riorganizzazione in un quadro d'insieme diverso degli insegnamenti già erogati nell'a.a. 2016/2017, collocandoli entro percorsi formativi disegnati con maggiore coerenza, efficacemente differenziati fra le differenti categorie di nostri studenti, i quali tendono naturalmente a indirizzarsi già in questa fase a sbocchi professionali molto diversi gli uni dagli altri. Obiettivi di miglioramento previsti nel precedente Rapporto di Riesame Ciclico GLI OBIETTIVI E LE AZIONI INTRAPRESE DI CUI AL PUNTO 1.B. </w:t>
      </w:r>
    </w:p>
    <w:p w:rsidR="000F5E70" w:rsidRDefault="000F5E70" w:rsidP="003E25E3">
      <w:r>
        <w:t>Azioni intraprese: Stato di avanzamento dell’azione correttiva Evidenze a supporto: Obiettivo n. x Azioni intraprese Stato di avanzamento dell’azione correttiva Evidenze a supporto: 4- b ANALISI DELLA SITUAZIONE SULLA BASE DEI DATI Con la modifica varata per il 2017-18 si passa dai due soli curricula attuali dalla titolatura generica, rivelatasi poco chiara e poco attraente per gli studenti («curriculum storico»; «curriculum filologico-letterario»), a cinque curricula meglio disegnati e più specifici («Archeologia e storia dell’arte antica»; «Lettere classiche e medievali»; «Lettere moderne»; «Storia dell'Arte»; «Storia e geografia»), mirati alle varie tipologie di studenti che, iscrivendosi a Lettere, hanno interessi formativi molto differenziati in relazione ai diversi possibili sbocchi lavorativi. La modifica rende dunque, i curricula meglio strutturati e inoltre immediatamente individuabili nelle loro finalità grazie a «etichette» più chiare, e dunque potenzialmente anche molto più attrattivi per gli immatricolandi, riducendo al contempo drasticamente la necessità di ricorrere al piano di studi «individuale». Una questione che rimane aperta, anche con il varo dei nuovi curricula, è quella dell’internazionalizzazione, che, se presenta punte di eccellenza (come il periodo passato in Erasmus che ha consentito ad una studentessa del nostro CdS di accedere ad un prestigioso tirocinio di ricerca presso il Louvre), è insufficiente per la gran parte dei nostri studenti : bisognerà operare pertanto per incentivare anche questo aspetto formativo. 4- c OBIETTIVI E AZIONI DI MIGLIORAMENTO Obiettivo n. 1: Incentivare l’Erasmus in uscita Azioni da intraprendere: Attivare momenti di riflessione sull’argomento con gli studenti Modalità e risorse: Si ricorrerà principalmente all’azione dei tutor. Scadenze previste e indicatori che misurino lo stato di avanzamento: Settembre 2018. Indicatore: almeno 5 studenti del CdS in Erasmus Responsabilità: Colegiale del Consiglio del CdS 5- COMMENTO AGLI INDICATORI .5- b ANALISI DELLA SITUAZIONE SULLA BASE DEI DATI Università degli Studi di Roma “Tor Vergata” 10 Il coinvolgimento di dei docenti e degli studenti alla gestione del CdS è pratica ormai consolidata Un esempio significativo è la commissione ad hoc, che ha prodotto la proposta di revisione dei curricula, che sarà operativa a partire dal 2017/18. La partecipazione responsabile ha fatto del Consiglio del CdS una palestra per discutere ogni problematica relativa alla didattica e alla formazione. Qui sono adeguatamente analizzati e considerati gli esiti della rilevazione delle opinioni di studenti, laureandi e laureati, e le considerazioni complessive della CPDS Col prossimo anno accademico sarà implementata la rappresentanza studentesca, in seguito a regolare elezione. Tuttavia troppe responsabilità fanno ancora capo al Coordinatore. Coinvolgimento degli interlocutori esterni Si sono realizzate interazioni in itinere con le parti consultate in fase di programmazione del CdS o con nuovi interlocutori, in funzione delle diverse esigenze di aggiornamento periodico dei profili , anche attraverso l'attivazione di nuovi tirocini, contratti di apprendistato, stage o altri interventi di orientamento al lavoro .(vedi l’iniziativa del Career Day del 26 maggio 2017) .</w:t>
      </w:r>
    </w:p>
    <w:p w:rsidR="009168AB" w:rsidRPr="003E25E3" w:rsidRDefault="000F5E70" w:rsidP="003E25E3">
      <w:r>
        <w:lastRenderedPageBreak/>
        <w:t>5- c OBIETTIVI E AZIONI DI MIGLIORAMENTO Obiettivo n. 1: Articolare le responsabilità Azioni da intraprendere: Monitorare gli ambiti di pertinenza del CdS Modalità e risorse: Discussione in consiglio, in vista di un’articolazione delle responsabilità Scadenze previste e indicatori che misurino lo stato di avanzamento: settembre 2018, , indicazione di almeno due nuove figure di referente Responsabilità: Il CdS nella sua globalità</w:t>
      </w:r>
      <w:r w:rsidR="00F23546" w:rsidRPr="003E25E3">
        <w:t xml:space="preserve"> </w:t>
      </w:r>
    </w:p>
    <w:sectPr w:rsidR="009168AB" w:rsidRPr="003E25E3" w:rsidSect="00B9787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D8B" w:rsidRDefault="002B6D8B" w:rsidP="00445D4D">
      <w:pPr>
        <w:spacing w:after="0" w:line="240" w:lineRule="auto"/>
      </w:pPr>
      <w:r>
        <w:separator/>
      </w:r>
    </w:p>
  </w:endnote>
  <w:endnote w:type="continuationSeparator" w:id="0">
    <w:p w:rsidR="002B6D8B" w:rsidRDefault="002B6D8B" w:rsidP="00445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D8B" w:rsidRDefault="002B6D8B" w:rsidP="00445D4D">
      <w:pPr>
        <w:spacing w:after="0" w:line="240" w:lineRule="auto"/>
      </w:pPr>
      <w:r>
        <w:separator/>
      </w:r>
    </w:p>
  </w:footnote>
  <w:footnote w:type="continuationSeparator" w:id="0">
    <w:p w:rsidR="002B6D8B" w:rsidRDefault="002B6D8B" w:rsidP="00445D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B96906"/>
    <w:multiLevelType w:val="multilevel"/>
    <w:tmpl w:val="BCAA51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DD7AAB"/>
    <w:rsid w:val="00037581"/>
    <w:rsid w:val="00084256"/>
    <w:rsid w:val="000A3C12"/>
    <w:rsid w:val="000B46E3"/>
    <w:rsid w:val="000F1B9D"/>
    <w:rsid w:val="000F5E70"/>
    <w:rsid w:val="00120A74"/>
    <w:rsid w:val="001414ED"/>
    <w:rsid w:val="00147C71"/>
    <w:rsid w:val="00161166"/>
    <w:rsid w:val="00186F30"/>
    <w:rsid w:val="001C04F0"/>
    <w:rsid w:val="00250866"/>
    <w:rsid w:val="002955C4"/>
    <w:rsid w:val="00295EF3"/>
    <w:rsid w:val="002B6D8B"/>
    <w:rsid w:val="002C5F0F"/>
    <w:rsid w:val="00304E12"/>
    <w:rsid w:val="00305CCA"/>
    <w:rsid w:val="0031331D"/>
    <w:rsid w:val="003626B8"/>
    <w:rsid w:val="003E25E3"/>
    <w:rsid w:val="003F207E"/>
    <w:rsid w:val="003F691E"/>
    <w:rsid w:val="00433C6D"/>
    <w:rsid w:val="004441F1"/>
    <w:rsid w:val="00445D4D"/>
    <w:rsid w:val="00496D11"/>
    <w:rsid w:val="004A6253"/>
    <w:rsid w:val="004F7D08"/>
    <w:rsid w:val="005177C1"/>
    <w:rsid w:val="005218A1"/>
    <w:rsid w:val="00616561"/>
    <w:rsid w:val="00650480"/>
    <w:rsid w:val="006C5267"/>
    <w:rsid w:val="00711F1F"/>
    <w:rsid w:val="00717BBC"/>
    <w:rsid w:val="00745AA3"/>
    <w:rsid w:val="007645B3"/>
    <w:rsid w:val="007B0BEF"/>
    <w:rsid w:val="00896764"/>
    <w:rsid w:val="008A6E1F"/>
    <w:rsid w:val="008C3A17"/>
    <w:rsid w:val="008F291D"/>
    <w:rsid w:val="009168AB"/>
    <w:rsid w:val="00934DA8"/>
    <w:rsid w:val="009A1EAF"/>
    <w:rsid w:val="009A6690"/>
    <w:rsid w:val="00A126A0"/>
    <w:rsid w:val="00A563EE"/>
    <w:rsid w:val="00AE32C8"/>
    <w:rsid w:val="00B91235"/>
    <w:rsid w:val="00B97870"/>
    <w:rsid w:val="00BA1467"/>
    <w:rsid w:val="00BD4A2A"/>
    <w:rsid w:val="00BE6FB7"/>
    <w:rsid w:val="00C13992"/>
    <w:rsid w:val="00C31464"/>
    <w:rsid w:val="00C416BE"/>
    <w:rsid w:val="00C5137D"/>
    <w:rsid w:val="00C57B29"/>
    <w:rsid w:val="00CB1AE4"/>
    <w:rsid w:val="00CF66C4"/>
    <w:rsid w:val="00D02948"/>
    <w:rsid w:val="00D64DB2"/>
    <w:rsid w:val="00DA5193"/>
    <w:rsid w:val="00DC54BB"/>
    <w:rsid w:val="00DD7AAB"/>
    <w:rsid w:val="00DE32A5"/>
    <w:rsid w:val="00DF1E50"/>
    <w:rsid w:val="00E04A53"/>
    <w:rsid w:val="00E14919"/>
    <w:rsid w:val="00E5601F"/>
    <w:rsid w:val="00E87065"/>
    <w:rsid w:val="00F21113"/>
    <w:rsid w:val="00F2354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D51051-0B2D-4487-BC25-D00F43D5D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97870"/>
  </w:style>
  <w:style w:type="paragraph" w:styleId="Titolo1">
    <w:name w:val="heading 1"/>
    <w:basedOn w:val="Normale"/>
    <w:link w:val="Titolo1Carattere"/>
    <w:uiPriority w:val="9"/>
    <w:qFormat/>
    <w:rsid w:val="00C13992"/>
    <w:pPr>
      <w:spacing w:before="100" w:beforeAutospacing="1" w:after="100" w:afterAutospacing="1" w:line="240" w:lineRule="auto"/>
      <w:outlineLvl w:val="0"/>
    </w:pPr>
    <w:rPr>
      <w:rFonts w:eastAsia="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A563EE"/>
    <w:pPr>
      <w:suppressAutoHyphens/>
      <w:spacing w:after="0" w:line="240" w:lineRule="auto"/>
    </w:pPr>
    <w:rPr>
      <w:rFonts w:ascii="Calibri" w:eastAsia="Calibri" w:hAnsi="Calibri" w:cs="Calibri"/>
      <w:lang w:eastAsia="ar-SA"/>
    </w:rPr>
  </w:style>
  <w:style w:type="paragraph" w:styleId="Testonotaapidipagina">
    <w:name w:val="footnote text"/>
    <w:basedOn w:val="Normale"/>
    <w:link w:val="TestonotaapidipaginaCarattere"/>
    <w:semiHidden/>
    <w:unhideWhenUsed/>
    <w:rsid w:val="00445D4D"/>
    <w:pPr>
      <w:spacing w:after="0" w:line="240" w:lineRule="auto"/>
    </w:pPr>
    <w:rPr>
      <w:rFonts w:eastAsia="Times New Roman"/>
      <w:sz w:val="20"/>
      <w:szCs w:val="20"/>
      <w:lang w:eastAsia="it-IT"/>
    </w:rPr>
  </w:style>
  <w:style w:type="character" w:customStyle="1" w:styleId="TestonotaapidipaginaCarattere">
    <w:name w:val="Testo nota a piè di pagina Carattere"/>
    <w:basedOn w:val="Carpredefinitoparagrafo"/>
    <w:link w:val="Testonotaapidipagina"/>
    <w:semiHidden/>
    <w:rsid w:val="00445D4D"/>
    <w:rPr>
      <w:rFonts w:ascii="Times New Roman" w:eastAsia="Times New Roman" w:hAnsi="Times New Roman" w:cs="Times New Roman"/>
      <w:sz w:val="20"/>
      <w:szCs w:val="20"/>
      <w:lang w:eastAsia="it-IT"/>
    </w:rPr>
  </w:style>
  <w:style w:type="character" w:styleId="Rimandonotaapidipagina">
    <w:name w:val="footnote reference"/>
    <w:basedOn w:val="Carpredefinitoparagrafo"/>
    <w:semiHidden/>
    <w:unhideWhenUsed/>
    <w:rsid w:val="00445D4D"/>
    <w:rPr>
      <w:vertAlign w:val="superscript"/>
    </w:rPr>
  </w:style>
  <w:style w:type="character" w:styleId="Enfasigrassetto">
    <w:name w:val="Strong"/>
    <w:basedOn w:val="Carpredefinitoparagrafo"/>
    <w:uiPriority w:val="22"/>
    <w:qFormat/>
    <w:rsid w:val="00445D4D"/>
    <w:rPr>
      <w:b/>
      <w:bCs/>
    </w:rPr>
  </w:style>
  <w:style w:type="character" w:styleId="Enfasicorsivo">
    <w:name w:val="Emphasis"/>
    <w:basedOn w:val="Carpredefinitoparagrafo"/>
    <w:uiPriority w:val="20"/>
    <w:qFormat/>
    <w:rsid w:val="009A6690"/>
    <w:rPr>
      <w:i/>
      <w:iCs/>
    </w:rPr>
  </w:style>
  <w:style w:type="paragraph" w:styleId="NormaleWeb">
    <w:name w:val="Normal (Web)"/>
    <w:basedOn w:val="Normale"/>
    <w:uiPriority w:val="99"/>
    <w:semiHidden/>
    <w:unhideWhenUsed/>
    <w:rsid w:val="009A6690"/>
    <w:pPr>
      <w:spacing w:before="100" w:beforeAutospacing="1" w:after="100" w:afterAutospacing="1" w:line="240" w:lineRule="auto"/>
    </w:pPr>
    <w:rPr>
      <w:rFonts w:eastAsia="Times New Roman"/>
      <w:lang w:eastAsia="it-IT"/>
    </w:rPr>
  </w:style>
  <w:style w:type="paragraph" w:styleId="Paragrafoelenco">
    <w:name w:val="List Paragraph"/>
    <w:basedOn w:val="Normale"/>
    <w:uiPriority w:val="34"/>
    <w:qFormat/>
    <w:rsid w:val="00D02948"/>
    <w:pPr>
      <w:spacing w:before="100" w:beforeAutospacing="1" w:after="100" w:afterAutospacing="1" w:line="240" w:lineRule="auto"/>
    </w:pPr>
    <w:rPr>
      <w:rFonts w:eastAsia="Times New Roman"/>
      <w:lang w:eastAsia="it-IT"/>
    </w:rPr>
  </w:style>
  <w:style w:type="character" w:styleId="Collegamentoipertestuale">
    <w:name w:val="Hyperlink"/>
    <w:basedOn w:val="Carpredefinitoparagrafo"/>
    <w:uiPriority w:val="99"/>
    <w:semiHidden/>
    <w:unhideWhenUsed/>
    <w:rsid w:val="00D02948"/>
  </w:style>
  <w:style w:type="character" w:customStyle="1" w:styleId="Titolo1Carattere">
    <w:name w:val="Titolo 1 Carattere"/>
    <w:basedOn w:val="Carpredefinitoparagrafo"/>
    <w:link w:val="Titolo1"/>
    <w:uiPriority w:val="9"/>
    <w:rsid w:val="00C13992"/>
    <w:rPr>
      <w:rFonts w:eastAsia="Times New Roman"/>
      <w:b/>
      <w:bCs/>
      <w:kern w:val="36"/>
      <w:sz w:val="48"/>
      <w:szCs w:val="4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2531390">
      <w:bodyDiv w:val="1"/>
      <w:marLeft w:val="0"/>
      <w:marRight w:val="0"/>
      <w:marTop w:val="0"/>
      <w:marBottom w:val="0"/>
      <w:divBdr>
        <w:top w:val="none" w:sz="0" w:space="0" w:color="auto"/>
        <w:left w:val="none" w:sz="0" w:space="0" w:color="auto"/>
        <w:bottom w:val="none" w:sz="0" w:space="0" w:color="auto"/>
        <w:right w:val="none" w:sz="0" w:space="0" w:color="auto"/>
      </w:divBdr>
      <w:divsChild>
        <w:div w:id="575240718">
          <w:marLeft w:val="0"/>
          <w:marRight w:val="0"/>
          <w:marTop w:val="0"/>
          <w:marBottom w:val="0"/>
          <w:divBdr>
            <w:top w:val="none" w:sz="0" w:space="0" w:color="auto"/>
            <w:left w:val="none" w:sz="0" w:space="0" w:color="auto"/>
            <w:bottom w:val="none" w:sz="0" w:space="0" w:color="auto"/>
            <w:right w:val="none" w:sz="0" w:space="0" w:color="auto"/>
          </w:divBdr>
        </w:div>
      </w:divsChild>
    </w:div>
    <w:div w:id="761338456">
      <w:bodyDiv w:val="1"/>
      <w:marLeft w:val="0"/>
      <w:marRight w:val="0"/>
      <w:marTop w:val="0"/>
      <w:marBottom w:val="0"/>
      <w:divBdr>
        <w:top w:val="none" w:sz="0" w:space="0" w:color="auto"/>
        <w:left w:val="none" w:sz="0" w:space="0" w:color="auto"/>
        <w:bottom w:val="none" w:sz="0" w:space="0" w:color="auto"/>
        <w:right w:val="none" w:sz="0" w:space="0" w:color="auto"/>
      </w:divBdr>
    </w:div>
    <w:div w:id="1004166570">
      <w:bodyDiv w:val="1"/>
      <w:marLeft w:val="0"/>
      <w:marRight w:val="0"/>
      <w:marTop w:val="0"/>
      <w:marBottom w:val="0"/>
      <w:divBdr>
        <w:top w:val="none" w:sz="0" w:space="0" w:color="auto"/>
        <w:left w:val="none" w:sz="0" w:space="0" w:color="auto"/>
        <w:bottom w:val="none" w:sz="0" w:space="0" w:color="auto"/>
        <w:right w:val="none" w:sz="0" w:space="0" w:color="auto"/>
      </w:divBdr>
      <w:divsChild>
        <w:div w:id="285084604">
          <w:marLeft w:val="0"/>
          <w:marRight w:val="0"/>
          <w:marTop w:val="0"/>
          <w:marBottom w:val="0"/>
          <w:divBdr>
            <w:top w:val="none" w:sz="0" w:space="0" w:color="auto"/>
            <w:left w:val="none" w:sz="0" w:space="0" w:color="auto"/>
            <w:bottom w:val="none" w:sz="0" w:space="0" w:color="auto"/>
            <w:right w:val="none" w:sz="0" w:space="0" w:color="auto"/>
          </w:divBdr>
        </w:div>
      </w:divsChild>
    </w:div>
    <w:div w:id="1396003131">
      <w:bodyDiv w:val="1"/>
      <w:marLeft w:val="0"/>
      <w:marRight w:val="0"/>
      <w:marTop w:val="0"/>
      <w:marBottom w:val="0"/>
      <w:divBdr>
        <w:top w:val="none" w:sz="0" w:space="0" w:color="auto"/>
        <w:left w:val="none" w:sz="0" w:space="0" w:color="auto"/>
        <w:bottom w:val="none" w:sz="0" w:space="0" w:color="auto"/>
        <w:right w:val="none" w:sz="0" w:space="0" w:color="auto"/>
      </w:divBdr>
    </w:div>
    <w:div w:id="1528980583">
      <w:bodyDiv w:val="1"/>
      <w:marLeft w:val="0"/>
      <w:marRight w:val="0"/>
      <w:marTop w:val="0"/>
      <w:marBottom w:val="0"/>
      <w:divBdr>
        <w:top w:val="none" w:sz="0" w:space="0" w:color="auto"/>
        <w:left w:val="none" w:sz="0" w:space="0" w:color="auto"/>
        <w:bottom w:val="none" w:sz="0" w:space="0" w:color="auto"/>
        <w:right w:val="none" w:sz="0" w:space="0" w:color="auto"/>
      </w:divBdr>
    </w:div>
    <w:div w:id="1681393606">
      <w:bodyDiv w:val="1"/>
      <w:marLeft w:val="0"/>
      <w:marRight w:val="0"/>
      <w:marTop w:val="0"/>
      <w:marBottom w:val="0"/>
      <w:divBdr>
        <w:top w:val="none" w:sz="0" w:space="0" w:color="auto"/>
        <w:left w:val="none" w:sz="0" w:space="0" w:color="auto"/>
        <w:bottom w:val="none" w:sz="0" w:space="0" w:color="auto"/>
        <w:right w:val="none" w:sz="0" w:space="0" w:color="auto"/>
      </w:divBdr>
      <w:divsChild>
        <w:div w:id="1858881267">
          <w:marLeft w:val="0"/>
          <w:marRight w:val="0"/>
          <w:marTop w:val="0"/>
          <w:marBottom w:val="0"/>
          <w:divBdr>
            <w:top w:val="none" w:sz="0" w:space="0" w:color="auto"/>
            <w:left w:val="none" w:sz="0" w:space="0" w:color="auto"/>
            <w:bottom w:val="none" w:sz="0" w:space="0" w:color="auto"/>
            <w:right w:val="none" w:sz="0" w:space="0" w:color="auto"/>
          </w:divBdr>
          <w:divsChild>
            <w:div w:id="1173952466">
              <w:marLeft w:val="0"/>
              <w:marRight w:val="0"/>
              <w:marTop w:val="0"/>
              <w:marBottom w:val="0"/>
              <w:divBdr>
                <w:top w:val="none" w:sz="0" w:space="0" w:color="auto"/>
                <w:left w:val="none" w:sz="0" w:space="0" w:color="auto"/>
                <w:bottom w:val="none" w:sz="0" w:space="0" w:color="auto"/>
                <w:right w:val="none" w:sz="0" w:space="0" w:color="auto"/>
              </w:divBdr>
            </w:div>
          </w:divsChild>
        </w:div>
        <w:div w:id="548877126">
          <w:marLeft w:val="0"/>
          <w:marRight w:val="0"/>
          <w:marTop w:val="0"/>
          <w:marBottom w:val="0"/>
          <w:divBdr>
            <w:top w:val="none" w:sz="0" w:space="0" w:color="auto"/>
            <w:left w:val="none" w:sz="0" w:space="0" w:color="auto"/>
            <w:bottom w:val="none" w:sz="0" w:space="0" w:color="auto"/>
            <w:right w:val="none" w:sz="0" w:space="0" w:color="auto"/>
          </w:divBdr>
          <w:divsChild>
            <w:div w:id="2054688246">
              <w:marLeft w:val="0"/>
              <w:marRight w:val="0"/>
              <w:marTop w:val="0"/>
              <w:marBottom w:val="0"/>
              <w:divBdr>
                <w:top w:val="none" w:sz="0" w:space="0" w:color="auto"/>
                <w:left w:val="none" w:sz="0" w:space="0" w:color="auto"/>
                <w:bottom w:val="none" w:sz="0" w:space="0" w:color="auto"/>
                <w:right w:val="none" w:sz="0" w:space="0" w:color="auto"/>
              </w:divBdr>
            </w:div>
          </w:divsChild>
        </w:div>
        <w:div w:id="584075424">
          <w:marLeft w:val="0"/>
          <w:marRight w:val="0"/>
          <w:marTop w:val="0"/>
          <w:marBottom w:val="0"/>
          <w:divBdr>
            <w:top w:val="none" w:sz="0" w:space="0" w:color="auto"/>
            <w:left w:val="none" w:sz="0" w:space="0" w:color="auto"/>
            <w:bottom w:val="none" w:sz="0" w:space="0" w:color="auto"/>
            <w:right w:val="none" w:sz="0" w:space="0" w:color="auto"/>
          </w:divBdr>
          <w:divsChild>
            <w:div w:id="489905076">
              <w:marLeft w:val="0"/>
              <w:marRight w:val="0"/>
              <w:marTop w:val="0"/>
              <w:marBottom w:val="0"/>
              <w:divBdr>
                <w:top w:val="none" w:sz="0" w:space="0" w:color="auto"/>
                <w:left w:val="none" w:sz="0" w:space="0" w:color="auto"/>
                <w:bottom w:val="none" w:sz="0" w:space="0" w:color="auto"/>
                <w:right w:val="none" w:sz="0" w:space="0" w:color="auto"/>
              </w:divBdr>
            </w:div>
          </w:divsChild>
        </w:div>
        <w:div w:id="1630354343">
          <w:marLeft w:val="0"/>
          <w:marRight w:val="0"/>
          <w:marTop w:val="0"/>
          <w:marBottom w:val="0"/>
          <w:divBdr>
            <w:top w:val="none" w:sz="0" w:space="0" w:color="auto"/>
            <w:left w:val="none" w:sz="0" w:space="0" w:color="auto"/>
            <w:bottom w:val="none" w:sz="0" w:space="0" w:color="auto"/>
            <w:right w:val="none" w:sz="0" w:space="0" w:color="auto"/>
          </w:divBdr>
          <w:divsChild>
            <w:div w:id="831985621">
              <w:marLeft w:val="0"/>
              <w:marRight w:val="0"/>
              <w:marTop w:val="0"/>
              <w:marBottom w:val="0"/>
              <w:divBdr>
                <w:top w:val="none" w:sz="0" w:space="0" w:color="auto"/>
                <w:left w:val="none" w:sz="0" w:space="0" w:color="auto"/>
                <w:bottom w:val="none" w:sz="0" w:space="0" w:color="auto"/>
                <w:right w:val="none" w:sz="0" w:space="0" w:color="auto"/>
              </w:divBdr>
            </w:div>
          </w:divsChild>
        </w:div>
        <w:div w:id="1061909649">
          <w:marLeft w:val="0"/>
          <w:marRight w:val="0"/>
          <w:marTop w:val="0"/>
          <w:marBottom w:val="0"/>
          <w:divBdr>
            <w:top w:val="none" w:sz="0" w:space="0" w:color="auto"/>
            <w:left w:val="none" w:sz="0" w:space="0" w:color="auto"/>
            <w:bottom w:val="none" w:sz="0" w:space="0" w:color="auto"/>
            <w:right w:val="none" w:sz="0" w:space="0" w:color="auto"/>
          </w:divBdr>
          <w:divsChild>
            <w:div w:id="40134415">
              <w:marLeft w:val="0"/>
              <w:marRight w:val="0"/>
              <w:marTop w:val="0"/>
              <w:marBottom w:val="0"/>
              <w:divBdr>
                <w:top w:val="none" w:sz="0" w:space="0" w:color="auto"/>
                <w:left w:val="none" w:sz="0" w:space="0" w:color="auto"/>
                <w:bottom w:val="none" w:sz="0" w:space="0" w:color="auto"/>
                <w:right w:val="none" w:sz="0" w:space="0" w:color="auto"/>
              </w:divBdr>
            </w:div>
          </w:divsChild>
        </w:div>
        <w:div w:id="496462015">
          <w:marLeft w:val="0"/>
          <w:marRight w:val="0"/>
          <w:marTop w:val="0"/>
          <w:marBottom w:val="0"/>
          <w:divBdr>
            <w:top w:val="none" w:sz="0" w:space="0" w:color="auto"/>
            <w:left w:val="none" w:sz="0" w:space="0" w:color="auto"/>
            <w:bottom w:val="none" w:sz="0" w:space="0" w:color="auto"/>
            <w:right w:val="none" w:sz="0" w:space="0" w:color="auto"/>
          </w:divBdr>
          <w:divsChild>
            <w:div w:id="366223113">
              <w:marLeft w:val="0"/>
              <w:marRight w:val="0"/>
              <w:marTop w:val="0"/>
              <w:marBottom w:val="0"/>
              <w:divBdr>
                <w:top w:val="none" w:sz="0" w:space="0" w:color="auto"/>
                <w:left w:val="none" w:sz="0" w:space="0" w:color="auto"/>
                <w:bottom w:val="none" w:sz="0" w:space="0" w:color="auto"/>
                <w:right w:val="none" w:sz="0" w:space="0" w:color="auto"/>
              </w:divBdr>
            </w:div>
          </w:divsChild>
        </w:div>
        <w:div w:id="527722619">
          <w:marLeft w:val="0"/>
          <w:marRight w:val="0"/>
          <w:marTop w:val="0"/>
          <w:marBottom w:val="0"/>
          <w:divBdr>
            <w:top w:val="none" w:sz="0" w:space="0" w:color="auto"/>
            <w:left w:val="none" w:sz="0" w:space="0" w:color="auto"/>
            <w:bottom w:val="none" w:sz="0" w:space="0" w:color="auto"/>
            <w:right w:val="none" w:sz="0" w:space="0" w:color="auto"/>
          </w:divBdr>
        </w:div>
      </w:divsChild>
    </w:div>
    <w:div w:id="1763988568">
      <w:bodyDiv w:val="1"/>
      <w:marLeft w:val="0"/>
      <w:marRight w:val="0"/>
      <w:marTop w:val="0"/>
      <w:marBottom w:val="0"/>
      <w:divBdr>
        <w:top w:val="none" w:sz="0" w:space="0" w:color="auto"/>
        <w:left w:val="none" w:sz="0" w:space="0" w:color="auto"/>
        <w:bottom w:val="none" w:sz="0" w:space="0" w:color="auto"/>
        <w:right w:val="none" w:sz="0" w:space="0" w:color="auto"/>
      </w:divBdr>
    </w:div>
    <w:div w:id="1786806153">
      <w:bodyDiv w:val="1"/>
      <w:marLeft w:val="0"/>
      <w:marRight w:val="0"/>
      <w:marTop w:val="0"/>
      <w:marBottom w:val="0"/>
      <w:divBdr>
        <w:top w:val="none" w:sz="0" w:space="0" w:color="auto"/>
        <w:left w:val="none" w:sz="0" w:space="0" w:color="auto"/>
        <w:bottom w:val="none" w:sz="0" w:space="0" w:color="auto"/>
        <w:right w:val="none" w:sz="0" w:space="0" w:color="auto"/>
      </w:divBdr>
    </w:div>
    <w:div w:id="1849170120">
      <w:bodyDiv w:val="1"/>
      <w:marLeft w:val="0"/>
      <w:marRight w:val="0"/>
      <w:marTop w:val="0"/>
      <w:marBottom w:val="0"/>
      <w:divBdr>
        <w:top w:val="none" w:sz="0" w:space="0" w:color="auto"/>
        <w:left w:val="none" w:sz="0" w:space="0" w:color="auto"/>
        <w:bottom w:val="none" w:sz="0" w:space="0" w:color="auto"/>
        <w:right w:val="none" w:sz="0" w:space="0" w:color="auto"/>
      </w:divBdr>
    </w:div>
    <w:div w:id="1901550429">
      <w:bodyDiv w:val="1"/>
      <w:marLeft w:val="0"/>
      <w:marRight w:val="0"/>
      <w:marTop w:val="0"/>
      <w:marBottom w:val="0"/>
      <w:divBdr>
        <w:top w:val="none" w:sz="0" w:space="0" w:color="auto"/>
        <w:left w:val="none" w:sz="0" w:space="0" w:color="auto"/>
        <w:bottom w:val="none" w:sz="0" w:space="0" w:color="auto"/>
        <w:right w:val="none" w:sz="0" w:space="0" w:color="auto"/>
      </w:divBdr>
    </w:div>
    <w:div w:id="2067294862">
      <w:bodyDiv w:val="1"/>
      <w:marLeft w:val="0"/>
      <w:marRight w:val="0"/>
      <w:marTop w:val="0"/>
      <w:marBottom w:val="0"/>
      <w:divBdr>
        <w:top w:val="none" w:sz="0" w:space="0" w:color="auto"/>
        <w:left w:val="none" w:sz="0" w:space="0" w:color="auto"/>
        <w:bottom w:val="none" w:sz="0" w:space="0" w:color="auto"/>
        <w:right w:val="none" w:sz="0" w:space="0" w:color="auto"/>
      </w:divBdr>
    </w:div>
    <w:div w:id="2123071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7</Pages>
  <Words>3468</Words>
  <Characters>19770</Characters>
  <Application>Microsoft Office Word</Application>
  <DocSecurity>0</DocSecurity>
  <Lines>164</Lines>
  <Paragraphs>46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Laboratorio LISL</cp:lastModifiedBy>
  <cp:revision>4</cp:revision>
  <dcterms:created xsi:type="dcterms:W3CDTF">2019-09-09T10:04:00Z</dcterms:created>
  <dcterms:modified xsi:type="dcterms:W3CDTF">2019-09-18T10:27:00Z</dcterms:modified>
</cp:coreProperties>
</file>